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F2" w:rsidRDefault="00D233F2">
      <w:pPr>
        <w:rPr>
          <w:rFonts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-123933</wp:posOffset>
            </wp:positionV>
            <wp:extent cx="3966768" cy="418572"/>
            <wp:effectExtent l="0" t="0" r="0" b="63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768" cy="41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4103649</wp:posOffset>
            </wp:positionH>
            <wp:positionV relativeFrom="paragraph">
              <wp:posOffset>-147026</wp:posOffset>
            </wp:positionV>
            <wp:extent cx="2133600" cy="453957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F2" w:rsidRDefault="00D233F2">
      <w:pPr>
        <w:rPr>
          <w:rFonts w:cs="Arial"/>
          <w:sz w:val="20"/>
          <w:szCs w:val="20"/>
        </w:rPr>
      </w:pPr>
    </w:p>
    <w:p w:rsidR="00D233F2" w:rsidRDefault="00D233F2">
      <w:pPr>
        <w:rPr>
          <w:rFonts w:cs="Arial"/>
          <w:sz w:val="20"/>
          <w:szCs w:val="20"/>
        </w:rPr>
      </w:pPr>
    </w:p>
    <w:p w:rsidR="00D233F2" w:rsidRDefault="00D233F2">
      <w:pPr>
        <w:rPr>
          <w:rFonts w:cs="Arial"/>
          <w:sz w:val="20"/>
          <w:szCs w:val="20"/>
        </w:rPr>
      </w:pPr>
    </w:p>
    <w:p w:rsidR="001670CF" w:rsidRDefault="00D233F2">
      <w:pPr>
        <w:rPr>
          <w:rFonts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7481</wp:posOffset>
                </wp:positionH>
                <wp:positionV relativeFrom="paragraph">
                  <wp:posOffset>3803015</wp:posOffset>
                </wp:positionV>
                <wp:extent cx="6304156" cy="3731941"/>
                <wp:effectExtent l="0" t="0" r="20955" b="209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156" cy="3731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0CF" w:rsidRPr="00D233F2" w:rsidRDefault="008D572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D233F2">
                              <w:rPr>
                                <w:sz w:val="24"/>
                                <w:szCs w:val="24"/>
                              </w:rPr>
                              <w:t xml:space="preserve">Anreise vom Hauptbahnhof Bern mit dem Bus Nummer 12 Richtung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</w:rPr>
                              <w:t>Holligen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</w:rPr>
                              <w:t xml:space="preserve"> / Inselspital.</w:t>
                            </w:r>
                          </w:p>
                          <w:p w:rsidR="001670CF" w:rsidRPr="00D233F2" w:rsidRDefault="008D572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 w:rsidRPr="00D233F2">
                              <w:rPr>
                                <w:sz w:val="24"/>
                                <w:szCs w:val="24"/>
                              </w:rPr>
                              <w:t>Vom Haupteingang her folgen Sie den Wegweisern ins INO und nehmen den F</w:t>
                            </w:r>
                            <w:r w:rsidR="00D233F2" w:rsidRPr="00D233F2">
                              <w:rPr>
                                <w:sz w:val="24"/>
                                <w:szCs w:val="24"/>
                              </w:rPr>
                              <w:t xml:space="preserve">ahrstuhl in die Etage B. Folgen </w:t>
                            </w:r>
                            <w:r w:rsidRPr="00D233F2">
                              <w:rPr>
                                <w:sz w:val="24"/>
                                <w:szCs w:val="24"/>
                              </w:rPr>
                              <w:t xml:space="preserve">Sie </w:t>
                            </w:r>
                            <w:r w:rsidRPr="00D233F2">
                              <w:rPr>
                                <w:sz w:val="24"/>
                                <w:szCs w:val="24"/>
                              </w:rPr>
                              <w:t>weiter den Wegweisern ins INO B.</w:t>
                            </w:r>
                            <w:r w:rsidR="00D233F2" w:rsidRPr="00D233F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33F2">
                              <w:rPr>
                                <w:sz w:val="24"/>
                                <w:szCs w:val="24"/>
                              </w:rPr>
                              <w:t>Im INO B folgen Sie den roten Punkten bis zum Punkt 8 (Nuklearmedizin / PET Diagnostik).</w:t>
                            </w:r>
                          </w:p>
                          <w:p w:rsidR="001670CF" w:rsidRPr="00D233F2" w:rsidRDefault="001670CF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0CF" w:rsidRPr="00D233F2" w:rsidRDefault="008D572D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Si vous arrivez e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n moyens publiques, prenez le bus numéro 12 de la gare principale de Berne vers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Holligen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/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Inselspital.</w:t>
                            </w:r>
                            <w:r w:rsidR="00D233F2"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A l’entrée principale suivez l’indication vers l’INO, prenez l’ascenseur à l’étage B et suivez de nouveau l’indication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vers </w:t>
                            </w:r>
                            <w:proofErr w:type="gramStart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l’ INO</w:t>
                            </w:r>
                            <w:proofErr w:type="gramEnd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. Dans l’INO s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 xml:space="preserve">uivez les points rouges jusque aux point 8 (Nuklearmedizin / PET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Diagnostik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fr-CH"/>
                              </w:rPr>
                              <w:t>).</w:t>
                            </w:r>
                          </w:p>
                          <w:p w:rsidR="00D233F2" w:rsidRPr="00D233F2" w:rsidRDefault="00D233F2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  <w:p w:rsidR="001670CF" w:rsidRPr="00D233F2" w:rsidRDefault="008D572D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Se arriva con i mezzi pubblici prenda il bus numero 12 alla stazione principale di Berna verso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>Holligen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/ Inselspital.</w:t>
                            </w:r>
                            <w:r w:rsidR="00D233F2"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>Prenda l’entrata principale e segue l’indicazione vers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o l’INO e prenda l’ascensore al piano B. Al piano B continua a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seguire l’indicazione verso l’INO. Al INO segue i punti rossi fino al punto numero 8 (Nuklearmedizin / PET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>Diagnostik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it-IT"/>
                              </w:rPr>
                              <w:t>).</w:t>
                            </w:r>
                          </w:p>
                          <w:p w:rsidR="00D233F2" w:rsidRPr="00D233F2" w:rsidRDefault="00D233F2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1670CF" w:rsidRPr="00D233F2" w:rsidRDefault="008D572D" w:rsidP="00D233F2">
                            <w:pPr>
                              <w:pStyle w:val="KeinLeerraum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If you arrive by public transportation, it is the bus number 12 from the main station in Bern to the station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>Holligen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/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>Inselspital.</w:t>
                            </w:r>
                            <w:r w:rsidR="00D233F2"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Take the main entrance, follow the indication to the INO and take the lift to the floor B. At the floor B, continue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follow the indication to the INO. At the INO follow the red dots until the dot 8 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(Nuklearmedizin / PET </w:t>
                            </w:r>
                            <w:proofErr w:type="spellStart"/>
                            <w:r w:rsidRPr="00D233F2">
                              <w:rPr>
                                <w:sz w:val="24"/>
                                <w:szCs w:val="24"/>
                                <w:lang w:val="en-US"/>
                              </w:rPr>
                              <w:t>Diagnostik</w:t>
                            </w:r>
                            <w:proofErr w:type="spellEnd"/>
                            <w:r w:rsidRPr="00D233F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D233F2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pt;margin-top:299.45pt;width:496.4pt;height:2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" fillcolor="white [3201]" strokeweight=".5pt">
                <v:textbox>
                  <w:txbxContent>
                    <w:p w:rsidR="001670CF" w:rsidRPr="00D233F2" w:rsidRDefault="008D572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D233F2">
                        <w:rPr>
                          <w:sz w:val="24"/>
                          <w:szCs w:val="24"/>
                        </w:rPr>
                        <w:t xml:space="preserve">Anreise vom Hauptbahnhof Bern mit dem Bus Nummer 12 Richtung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</w:rPr>
                        <w:t>Holligen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</w:rPr>
                        <w:t xml:space="preserve"> / Inselspital.</w:t>
                      </w:r>
                    </w:p>
                    <w:p w:rsidR="001670CF" w:rsidRPr="00D233F2" w:rsidRDefault="008D572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 w:rsidRPr="00D233F2">
                        <w:rPr>
                          <w:sz w:val="24"/>
                          <w:szCs w:val="24"/>
                        </w:rPr>
                        <w:t>Vom Haupteingang her folgen Sie den Wegweisern ins INO und nehmen den F</w:t>
                      </w:r>
                      <w:r w:rsidR="00D233F2" w:rsidRPr="00D233F2">
                        <w:rPr>
                          <w:sz w:val="24"/>
                          <w:szCs w:val="24"/>
                        </w:rPr>
                        <w:t xml:space="preserve">ahrstuhl in die Etage B. Folgen </w:t>
                      </w:r>
                      <w:r w:rsidRPr="00D233F2">
                        <w:rPr>
                          <w:sz w:val="24"/>
                          <w:szCs w:val="24"/>
                        </w:rPr>
                        <w:t xml:space="preserve">Sie </w:t>
                      </w:r>
                      <w:r w:rsidRPr="00D233F2">
                        <w:rPr>
                          <w:sz w:val="24"/>
                          <w:szCs w:val="24"/>
                        </w:rPr>
                        <w:t>weiter den Wegweisern ins INO B.</w:t>
                      </w:r>
                      <w:r w:rsidR="00D233F2" w:rsidRPr="00D233F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233F2">
                        <w:rPr>
                          <w:sz w:val="24"/>
                          <w:szCs w:val="24"/>
                        </w:rPr>
                        <w:t>Im INO B folgen Sie den roten Punkten bis zum Punkt 8 (Nuklearmedizin / PET Diagnostik).</w:t>
                      </w:r>
                    </w:p>
                    <w:p w:rsidR="001670CF" w:rsidRPr="00D233F2" w:rsidRDefault="001670CF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</w:p>
                    <w:p w:rsidR="001670CF" w:rsidRPr="00D233F2" w:rsidRDefault="008D572D">
                      <w:pPr>
                        <w:pStyle w:val="KeinLeerraum"/>
                        <w:rPr>
                          <w:sz w:val="24"/>
                          <w:szCs w:val="24"/>
                          <w:lang w:val="fr-CH"/>
                        </w:rPr>
                      </w:pP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Si vous arrivez e</w:t>
                      </w: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n moyens publiques, prenez le bus numéro 12 de la gare principale de Berne vers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Holligen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 / </w:t>
                      </w: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Inselspital.</w:t>
                      </w:r>
                      <w:r w:rsidR="00D233F2"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A l’entrée principale suivez l’indication vers l’INO, prenez l’ascenseur à l’étage B et suivez de nouveau l’indication </w:t>
                      </w: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vers </w:t>
                      </w:r>
                      <w:proofErr w:type="gramStart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l’ INO</w:t>
                      </w:r>
                      <w:proofErr w:type="gramEnd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. Dans l’INO s</w:t>
                      </w:r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 xml:space="preserve">uivez les points rouges jusque aux point 8 (Nuklearmedizin / PET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Diagnostik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fr-CH"/>
                        </w:rPr>
                        <w:t>).</w:t>
                      </w:r>
                    </w:p>
                    <w:p w:rsidR="00D233F2" w:rsidRPr="00D233F2" w:rsidRDefault="00D233F2">
                      <w:pPr>
                        <w:pStyle w:val="KeinLeerraum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  <w:p w:rsidR="001670CF" w:rsidRPr="00D233F2" w:rsidRDefault="008D572D">
                      <w:pPr>
                        <w:pStyle w:val="KeinLeerraum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 xml:space="preserve">Se arriva con i mezzi pubblici prenda il bus numero 12 alla stazione principale di Berna verso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>Holligen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 xml:space="preserve"> / Inselspital.</w:t>
                      </w:r>
                      <w:r w:rsidR="00D233F2" w:rsidRPr="00D233F2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>Prenda l’entrata principale e segue l’indicazione vers</w:t>
                      </w:r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 xml:space="preserve">o l’INO e prenda l’ascensore al piano B. Al piano B continua a </w:t>
                      </w:r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 xml:space="preserve">seguire l’indicazione verso l’INO. Al INO segue i punti rossi fino al punto numero 8 (Nuklearmedizin / PET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>Diagnostik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it-IT"/>
                        </w:rPr>
                        <w:t>).</w:t>
                      </w:r>
                    </w:p>
                    <w:p w:rsidR="00D233F2" w:rsidRPr="00D233F2" w:rsidRDefault="00D233F2">
                      <w:pPr>
                        <w:pStyle w:val="KeinLeerraum"/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  <w:p w:rsidR="001670CF" w:rsidRPr="00D233F2" w:rsidRDefault="008D572D" w:rsidP="00D233F2">
                      <w:pPr>
                        <w:pStyle w:val="KeinLeerraum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If you arrive by public transportation, it is the bus number 12 from the main station in Bern to the station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>Holligen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 / </w:t>
                      </w: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>Inselspital.</w:t>
                      </w:r>
                      <w:r w:rsidR="00D233F2"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Take the main entrance, follow the indication to the INO and take the lift to the floor B. At the floor B, continue </w:t>
                      </w: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to </w:t>
                      </w: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 xml:space="preserve">follow the indication to the INO. At the INO follow the red dots until the dot 8 </w:t>
                      </w:r>
                      <w:r w:rsidRPr="00D233F2">
                        <w:rPr>
                          <w:sz w:val="24"/>
                          <w:szCs w:val="24"/>
                          <w:lang w:val="en-US"/>
                        </w:rPr>
                        <w:t xml:space="preserve">(Nuklearmedizin / PET </w:t>
                      </w:r>
                      <w:proofErr w:type="spellStart"/>
                      <w:r w:rsidRPr="00D233F2">
                        <w:rPr>
                          <w:sz w:val="24"/>
                          <w:szCs w:val="24"/>
                          <w:lang w:val="en-US"/>
                        </w:rPr>
                        <w:t>Diagnostik</w:t>
                      </w:r>
                      <w:proofErr w:type="spellEnd"/>
                      <w:r w:rsidRPr="00D233F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D233F2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572D">
        <w:rPr>
          <w:noProof/>
          <w:lang w:eastAsia="de-CH"/>
        </w:rPr>
        <w:drawing>
          <wp:inline distT="0" distB="0" distL="0" distR="0" wp14:anchorId="45B33EB2" wp14:editId="4F76887B">
            <wp:extent cx="6192520" cy="36620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0CF">
      <w:headerReference w:type="default" r:id="rId11"/>
      <w:footerReference w:type="default" r:id="rId12"/>
      <w:pgSz w:w="11906" w:h="16838"/>
      <w:pgMar w:top="1077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CF" w:rsidRDefault="008D572D">
      <w:r>
        <w:separator/>
      </w:r>
    </w:p>
  </w:endnote>
  <w:endnote w:type="continuationSeparator" w:id="0">
    <w:p w:rsidR="001670CF" w:rsidRDefault="008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5"/>
      <w:gridCol w:w="1704"/>
      <w:gridCol w:w="1274"/>
      <w:gridCol w:w="1701"/>
      <w:gridCol w:w="1379"/>
      <w:gridCol w:w="996"/>
      <w:gridCol w:w="643"/>
    </w:tblGrid>
    <w:tr w:rsidR="001670CF">
      <w:trPr>
        <w:cantSplit/>
        <w:trHeight w:val="269"/>
      </w:trPr>
      <w:tc>
        <w:tcPr>
          <w:tcW w:w="2195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t>Datei</w:t>
          </w:r>
        </w:p>
      </w:tc>
      <w:tc>
        <w:tcPr>
          <w:tcW w:w="1704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Autor</w:t>
          </w:r>
        </w:p>
      </w:tc>
      <w:tc>
        <w:tcPr>
          <w:tcW w:w="1274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Prüfer</w:t>
          </w:r>
        </w:p>
      </w:tc>
      <w:tc>
        <w:tcPr>
          <w:tcW w:w="1701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Genehmigt</w:t>
          </w:r>
        </w:p>
      </w:tc>
      <w:tc>
        <w:tcPr>
          <w:tcW w:w="1379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Datum </w:t>
          </w:r>
        </w:p>
      </w:tc>
      <w:tc>
        <w:tcPr>
          <w:tcW w:w="996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</w:t>
          </w:r>
        </w:p>
      </w:tc>
      <w:tc>
        <w:tcPr>
          <w:tcW w:w="643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Seite</w:t>
          </w:r>
        </w:p>
      </w:tc>
    </w:tr>
    <w:tr w:rsidR="001670CF">
      <w:trPr>
        <w:cantSplit/>
      </w:trPr>
      <w:tc>
        <w:tcPr>
          <w:tcW w:w="2195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FB_Lageplan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PET</w:t>
          </w:r>
        </w:p>
      </w:tc>
      <w:sdt>
        <w:sdtPr>
          <w:rPr>
            <w:rFonts w:ascii="Arial" w:hAnsi="Arial" w:cs="Arial"/>
            <w:sz w:val="14"/>
            <w:szCs w:val="14"/>
            <w:lang w:val="it-IT"/>
          </w:rPr>
          <w:id w:val="2092733011"/>
          <w:placeholder>
            <w:docPart w:val="B48925B26A5F44B7B32D7522AD6B1B8B"/>
          </w:placeholder>
        </w:sdtPr>
        <w:sdtEndPr/>
        <w:sdtContent>
          <w:tc>
            <w:tcPr>
              <w:tcW w:w="1704" w:type="dxa"/>
            </w:tcPr>
            <w:p w:rsidR="001670CF" w:rsidRDefault="008D572D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  <w:lang w:val="it-IT"/>
                </w:rPr>
                <w:t>Viscione</w:t>
              </w:r>
            </w:p>
          </w:tc>
        </w:sdtContent>
      </w:sdt>
      <w:sdt>
        <w:sdtPr>
          <w:rPr>
            <w:rFonts w:ascii="Arial" w:hAnsi="Arial" w:cs="Arial"/>
            <w:sz w:val="14"/>
            <w:szCs w:val="14"/>
            <w:lang w:val="it-IT"/>
          </w:rPr>
          <w:id w:val="-712342059"/>
          <w:placeholder>
            <w:docPart w:val="7E87536FBF6C44EF9D965574DA27390D"/>
          </w:placeholder>
        </w:sdtPr>
        <w:sdtEndPr/>
        <w:sdtContent>
          <w:tc>
            <w:tcPr>
              <w:tcW w:w="1274" w:type="dxa"/>
            </w:tcPr>
            <w:p w:rsidR="001670CF" w:rsidRDefault="008D572D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  <w:lang w:val="it-IT"/>
                </w:rPr>
                <w:t>Mendes</w:t>
              </w:r>
            </w:p>
          </w:tc>
        </w:sdtContent>
      </w:sdt>
      <w:sdt>
        <w:sdtPr>
          <w:rPr>
            <w:rFonts w:ascii="Arial" w:hAnsi="Arial" w:cs="Arial"/>
            <w:sz w:val="14"/>
            <w:szCs w:val="14"/>
          </w:rPr>
          <w:id w:val="1796327199"/>
          <w:placeholder>
            <w:docPart w:val="7E87536FBF6C44EF9D965574DA27390D"/>
          </w:placeholder>
        </w:sdtPr>
        <w:sdtEndPr/>
        <w:sdtContent>
          <w:tc>
            <w:tcPr>
              <w:tcW w:w="1701" w:type="dxa"/>
            </w:tcPr>
            <w:p w:rsidR="001670CF" w:rsidRDefault="008D572D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Rominger</w:t>
              </w:r>
            </w:p>
          </w:tc>
        </w:sdtContent>
      </w:sdt>
      <w:sdt>
        <w:sdtPr>
          <w:rPr>
            <w:rFonts w:ascii="Arial" w:hAnsi="Arial" w:cs="Arial"/>
            <w:sz w:val="14"/>
            <w:szCs w:val="14"/>
          </w:rPr>
          <w:id w:val="169995096"/>
          <w:placeholder>
            <w:docPart w:val="7E87536FBF6C44EF9D965574DA27390D"/>
          </w:placeholder>
        </w:sdtPr>
        <w:sdtEndPr/>
        <w:sdtContent>
          <w:tc>
            <w:tcPr>
              <w:tcW w:w="1379" w:type="dxa"/>
            </w:tcPr>
            <w:p w:rsidR="001670CF" w:rsidRDefault="008D572D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11.09.2023</w:t>
              </w:r>
            </w:p>
          </w:tc>
        </w:sdtContent>
      </w:sdt>
      <w:tc>
        <w:tcPr>
          <w:tcW w:w="996" w:type="dxa"/>
        </w:tcPr>
        <w:sdt>
          <w:sdtPr>
            <w:rPr>
              <w:rFonts w:ascii="Arial" w:hAnsi="Arial" w:cs="Arial"/>
              <w:sz w:val="14"/>
              <w:szCs w:val="14"/>
            </w:rPr>
            <w:id w:val="-1032029758"/>
            <w:placeholder>
              <w:docPart w:val="7E87536FBF6C44EF9D965574DA27390D"/>
            </w:placeholder>
          </w:sdtPr>
          <w:sdtEndPr/>
          <w:sdtContent>
            <w:p w:rsidR="001670CF" w:rsidRDefault="008D572D">
              <w:pPr>
                <w:pStyle w:val="Fuzeile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2.0</w:t>
              </w:r>
            </w:p>
          </w:sdtContent>
        </w:sdt>
      </w:tc>
      <w:tc>
        <w:tcPr>
          <w:tcW w:w="643" w:type="dxa"/>
        </w:tcPr>
        <w:p w:rsidR="001670CF" w:rsidRDefault="008D572D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 xml:space="preserve"> von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1670CF" w:rsidRDefault="001670CF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CF" w:rsidRDefault="008D572D">
      <w:r>
        <w:separator/>
      </w:r>
    </w:p>
  </w:footnote>
  <w:footnote w:type="continuationSeparator" w:id="0">
    <w:p w:rsidR="001670CF" w:rsidRDefault="008D5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89"/>
      <w:gridCol w:w="6434"/>
    </w:tblGrid>
    <w:tr w:rsidR="001670CF">
      <w:trPr>
        <w:trHeight w:val="224"/>
      </w:trPr>
      <w:tc>
        <w:tcPr>
          <w:tcW w:w="3376" w:type="dxa"/>
          <w:shd w:val="clear" w:color="auto" w:fill="auto"/>
        </w:tcPr>
        <w:p w:rsidR="001670CF" w:rsidRDefault="008D572D">
          <w:pPr>
            <w:pStyle w:val="Kopfzeile"/>
            <w:rPr>
              <w:rFonts w:ascii="Arial" w:hAnsi="Arial" w:cs="Arial"/>
            </w:rPr>
          </w:pPr>
          <w:r>
            <w:rPr>
              <w:noProof/>
              <w:lang w:eastAsia="de-CH"/>
            </w:rPr>
            <w:drawing>
              <wp:inline distT="0" distB="0" distL="0" distR="0">
                <wp:extent cx="2078355" cy="732790"/>
                <wp:effectExtent l="0" t="0" r="0" b="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 rotWithShape="1">
                        <a:blip r:embed="rId1"/>
                        <a:srcRect r="17847" b="30894"/>
                        <a:stretch/>
                      </pic:blipFill>
                      <pic:spPr bwMode="auto">
                        <a:xfrm>
                          <a:off x="0" y="0"/>
                          <a:ext cx="2078355" cy="732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7" w:type="dxa"/>
          <w:shd w:val="clear" w:color="auto" w:fill="auto"/>
        </w:tcPr>
        <w:p w:rsidR="001670CF" w:rsidRDefault="008D572D">
          <w:pPr>
            <w:pStyle w:val="Kopfzeile"/>
            <w:jc w:val="right"/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b/>
              <w:i/>
              <w:color w:val="808080" w:themeColor="background1" w:themeShade="80"/>
              <w:sz w:val="24"/>
              <w:szCs w:val="24"/>
            </w:rPr>
            <w:t>Universitätsklinik für Nuklearmedizin</w:t>
          </w:r>
        </w:p>
        <w:sdt>
          <w:sdtPr>
            <w:rPr>
              <w:rFonts w:ascii="Arial" w:hAnsi="Arial" w:cs="Arial"/>
              <w:b/>
              <w:sz w:val="24"/>
              <w:szCs w:val="24"/>
            </w:rPr>
            <w:id w:val="-401910894"/>
            <w:placeholder>
              <w:docPart w:val="DefaultPlaceholder_1082065158"/>
            </w:placeholder>
          </w:sdtPr>
          <w:sdtEndPr/>
          <w:sdtContent>
            <w:p w:rsidR="001670CF" w:rsidRDefault="008D572D" w:rsidP="00D233F2">
              <w:pPr>
                <w:pStyle w:val="Kopfzeile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</w:rPr>
                <w:t>Lageplan PET</w:t>
              </w:r>
              <w:r w:rsidR="00D233F2">
                <w:rPr>
                  <w:rFonts w:ascii="Arial" w:hAnsi="Arial" w:cs="Arial"/>
                  <w:b/>
                  <w:sz w:val="24"/>
                  <w:szCs w:val="24"/>
                </w:rPr>
                <w:t xml:space="preserve"> Diagnostik Bern</w:t>
              </w:r>
            </w:p>
          </w:sdtContent>
        </w:sdt>
      </w:tc>
    </w:tr>
    <w:tr w:rsidR="001670CF">
      <w:trPr>
        <w:trHeight w:val="223"/>
      </w:trPr>
      <w:tc>
        <w:tcPr>
          <w:tcW w:w="3376" w:type="dxa"/>
          <w:shd w:val="clear" w:color="auto" w:fill="auto"/>
        </w:tcPr>
        <w:p w:rsidR="001670CF" w:rsidRDefault="001670CF">
          <w:pPr>
            <w:pStyle w:val="Kopfzeile"/>
            <w:spacing w:before="120"/>
            <w:ind w:left="196"/>
            <w:rPr>
              <w:rFonts w:ascii="Arial" w:hAnsi="Arial" w:cs="Arial"/>
              <w:b/>
              <w:i/>
              <w:color w:val="808080"/>
              <w:sz w:val="14"/>
              <w:szCs w:val="14"/>
            </w:rPr>
          </w:pPr>
        </w:p>
      </w:tc>
      <w:tc>
        <w:tcPr>
          <w:tcW w:w="6547" w:type="dxa"/>
          <w:shd w:val="clear" w:color="auto" w:fill="auto"/>
          <w:vAlign w:val="center"/>
        </w:tcPr>
        <w:p w:rsidR="001670CF" w:rsidRDefault="008D572D">
          <w:pPr>
            <w:pStyle w:val="Kopfzeile"/>
            <w:jc w:val="right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Formblatt (FB)</w:t>
          </w:r>
        </w:p>
      </w:tc>
    </w:tr>
  </w:tbl>
  <w:p w:rsidR="001670CF" w:rsidRDefault="001670CF">
    <w:pPr>
      <w:pStyle w:val="Kopfzeile"/>
    </w:pPr>
  </w:p>
  <w:p w:rsidR="001670CF" w:rsidRDefault="001670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66"/>
    <w:multiLevelType w:val="multilevel"/>
    <w:tmpl w:val="5E765B9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03B02C90"/>
    <w:multiLevelType w:val="multilevel"/>
    <w:tmpl w:val="30688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542EBC"/>
    <w:multiLevelType w:val="multilevel"/>
    <w:tmpl w:val="FAC618AA"/>
    <w:lvl w:ilvl="0">
      <w:start w:val="1"/>
      <w:numFmt w:val="decimal"/>
      <w:pStyle w:val="Absatz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EC329AB"/>
    <w:multiLevelType w:val="multilevel"/>
    <w:tmpl w:val="104EE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C7645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C6F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FC514A"/>
    <w:multiLevelType w:val="multilevel"/>
    <w:tmpl w:val="EB4C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4773215"/>
    <w:multiLevelType w:val="multilevel"/>
    <w:tmpl w:val="0F129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8F6E3E"/>
    <w:multiLevelType w:val="multilevel"/>
    <w:tmpl w:val="94E46EF0"/>
    <w:lvl w:ilvl="0">
      <w:start w:val="3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1"/>
        </w:tabs>
        <w:ind w:left="1131" w:hanging="564"/>
      </w:pPr>
      <w:rPr>
        <w:rFonts w:hint="default"/>
        <w:b/>
      </w:rPr>
    </w:lvl>
    <w:lvl w:ilvl="2">
      <w:start w:val="1"/>
      <w:numFmt w:val="decimal"/>
      <w:pStyle w:val="Absatz4"/>
      <w:lvlText w:val="%1.9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762422FE"/>
    <w:multiLevelType w:val="multilevel"/>
    <w:tmpl w:val="EB4C8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CF"/>
    <w:rsid w:val="001670CF"/>
    <w:rsid w:val="008D572D"/>
    <w:rsid w:val="00D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CB651F"/>
  <w15:docId w15:val="{2F053A7A-2492-4430-BE07-B9250951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cs="Arial"/>
      <w:i/>
      <w:iCs/>
      <w:sz w:val="22"/>
      <w:szCs w:val="22"/>
    </w:rPr>
  </w:style>
  <w:style w:type="paragraph" w:styleId="berschrift5">
    <w:name w:val="heading 5"/>
    <w:basedOn w:val="Standard"/>
    <w:next w:val="Standard"/>
    <w:link w:val="berschrift5Zchn"/>
    <w:qFormat/>
    <w:pPr>
      <w:keepNext/>
      <w:jc w:val="center"/>
      <w:outlineLvl w:val="4"/>
    </w:pPr>
    <w:rPr>
      <w:rFonts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,Kopfzeile Char1,Kopfzeile Char Char,Unterstreichen Char Char"/>
    <w:basedOn w:val="Standard"/>
    <w:link w:val="KopfzeileZchn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aliases w:val="Unterstreichen Zchn,Kopfzeile Char1 Zchn,Kopfzeile Char Char Zchn,Unterstreichen Char Char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satz1">
    <w:name w:val="Absatz1"/>
    <w:basedOn w:val="Standard"/>
    <w:pPr>
      <w:numPr>
        <w:numId w:val="3"/>
      </w:numPr>
    </w:pPr>
    <w:rPr>
      <w:b/>
      <w:bCs/>
      <w:sz w:val="26"/>
      <w:szCs w:val="20"/>
    </w:rPr>
  </w:style>
  <w:style w:type="paragraph" w:customStyle="1" w:styleId="Absatz4">
    <w:name w:val="Absatz4"/>
    <w:basedOn w:val="Standard"/>
    <w:pPr>
      <w:numPr>
        <w:ilvl w:val="2"/>
        <w:numId w:val="5"/>
      </w:numPr>
      <w:ind w:right="1701"/>
    </w:pPr>
    <w:rPr>
      <w:bCs/>
      <w:sz w:val="22"/>
      <w:szCs w:val="20"/>
    </w:rPr>
  </w:style>
  <w:style w:type="character" w:styleId="Hervorhebung">
    <w:name w:val="Emphasis"/>
    <w:qFormat/>
    <w:rPr>
      <w:rFonts w:cs="Times New Roman"/>
      <w:i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i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Arial"/>
      <w:b/>
      <w:bCs/>
      <w:sz w:val="36"/>
      <w:szCs w:val="36"/>
      <w:lang w:eastAsia="de-DE"/>
    </w:rPr>
  </w:style>
  <w:style w:type="paragraph" w:styleId="KeinLeerraum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10802-3F74-4D4A-823C-0802674A945F}"/>
      </w:docPartPr>
      <w:docPartBody>
        <w:p w:rsidR="007F6104" w:rsidRDefault="007F6104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87536FBF6C44EF9D965574DA273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1F9A4-C3A9-4B6C-B517-92E1680CFAE8}"/>
      </w:docPartPr>
      <w:docPartBody>
        <w:p w:rsidR="007F6104" w:rsidRDefault="007F6104">
          <w:pPr>
            <w:pStyle w:val="7E87536FBF6C44EF9D965574DA27390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925B26A5F44B7B32D7522AD6B1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B3C50-CF76-4188-ADAA-91AA23EE07A3}"/>
      </w:docPartPr>
      <w:docPartBody>
        <w:p w:rsidR="007F6104" w:rsidRDefault="007F6104">
          <w:pPr>
            <w:pStyle w:val="B48925B26A5F44B7B32D7522AD6B1B8B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04"/>
    <w:rsid w:val="007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AD2C4A599D040459BCFC60ADDB880AD">
    <w:name w:val="BAD2C4A599D040459BCFC60ADDB880AD"/>
  </w:style>
  <w:style w:type="paragraph" w:customStyle="1" w:styleId="D4BE6136F15F48729A186D4EC7651A81">
    <w:name w:val="D4BE6136F15F48729A186D4EC7651A81"/>
  </w:style>
  <w:style w:type="paragraph" w:customStyle="1" w:styleId="54C8AB81D5844F8BAB7D3E5D3AEA2444">
    <w:name w:val="54C8AB81D5844F8BAB7D3E5D3AEA2444"/>
  </w:style>
  <w:style w:type="paragraph" w:customStyle="1" w:styleId="61ED055302EC464ABAA8675E826D6A2E">
    <w:name w:val="61ED055302EC464ABAA8675E826D6A2E"/>
  </w:style>
  <w:style w:type="paragraph" w:customStyle="1" w:styleId="308444391D7E40CE8BBE5BE751874886">
    <w:name w:val="308444391D7E40CE8BBE5BE751874886"/>
  </w:style>
  <w:style w:type="paragraph" w:customStyle="1" w:styleId="E98156D336CC40AE964A6F5C14A7A5C0">
    <w:name w:val="E98156D336CC40AE964A6F5C14A7A5C0"/>
  </w:style>
  <w:style w:type="paragraph" w:customStyle="1" w:styleId="A4716F6FE4A44935B541F70449AAAB7C">
    <w:name w:val="A4716F6FE4A44935B541F70449AAAB7C"/>
  </w:style>
  <w:style w:type="paragraph" w:customStyle="1" w:styleId="0A9A11C36E86400CB550E2A5805267AF">
    <w:name w:val="0A9A11C36E86400CB550E2A5805267AF"/>
  </w:style>
  <w:style w:type="paragraph" w:customStyle="1" w:styleId="C79C006507624872B01BD47EF08DE6D6">
    <w:name w:val="C79C006507624872B01BD47EF08DE6D6"/>
    <w:pPr>
      <w:spacing w:after="160" w:line="259" w:lineRule="auto"/>
    </w:pPr>
  </w:style>
  <w:style w:type="paragraph" w:customStyle="1" w:styleId="3BF4EC229F884C1C8F6CB5110DBBFA22">
    <w:name w:val="3BF4EC229F884C1C8F6CB5110DBBFA22"/>
    <w:pPr>
      <w:spacing w:after="160" w:line="259" w:lineRule="auto"/>
    </w:pPr>
  </w:style>
  <w:style w:type="paragraph" w:customStyle="1" w:styleId="7E87536FBF6C44EF9D965574DA27390D">
    <w:name w:val="7E87536FBF6C44EF9D965574DA27390D"/>
    <w:pPr>
      <w:spacing w:after="160" w:line="259" w:lineRule="auto"/>
    </w:pPr>
  </w:style>
  <w:style w:type="paragraph" w:customStyle="1" w:styleId="B48925B26A5F44B7B32D7522AD6B1B8B">
    <w:name w:val="B48925B26A5F44B7B32D7522AD6B1B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7CDE-B076-4EBB-B77C-446279B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AG DRNN</dc:creator>
  <cp:lastModifiedBy>Lanz, Sabine</cp:lastModifiedBy>
  <cp:revision>3</cp:revision>
  <cp:lastPrinted>2020-10-12T09:13:00Z</cp:lastPrinted>
  <dcterms:created xsi:type="dcterms:W3CDTF">2023-09-12T05:28:00Z</dcterms:created>
  <dcterms:modified xsi:type="dcterms:W3CDTF">2023-09-12T05:31:00Z</dcterms:modified>
</cp:coreProperties>
</file>